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宋体" w:eastAsia="宋体"/>
          <w:sz w:val="32"/>
          <w:szCs w:val="32"/>
        </w:rPr>
      </w:pPr>
    </w:p>
    <w:p>
      <w:pPr>
        <w:spacing w:line="240" w:lineRule="auto"/>
        <w:rPr>
          <w:rFonts w:ascii="宋体" w:eastAsia="宋体"/>
          <w:sz w:val="44"/>
          <w:szCs w:val="44"/>
        </w:rPr>
      </w:pPr>
    </w:p>
    <w:p>
      <w:pPr>
        <w:spacing w:line="240" w:lineRule="auto"/>
        <w:rPr>
          <w:rFonts w:ascii="宋体" w:eastAsia="宋体"/>
          <w:sz w:val="44"/>
          <w:szCs w:val="44"/>
        </w:rPr>
      </w:pPr>
    </w:p>
    <w:p>
      <w:pPr>
        <w:spacing w:line="240" w:lineRule="auto"/>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_GBK" w:hAnsi="宋体" w:eastAsia="方正小标宋_GBK" w:cs="Times New Roman"/>
          <w:kern w:val="2"/>
          <w:sz w:val="44"/>
          <w:szCs w:val="44"/>
          <w:highlight w:val="none"/>
          <w:lang w:val="en-US" w:eastAsia="zh-CN" w:bidi="ar-SA"/>
        </w:rPr>
      </w:pPr>
      <w:r>
        <w:rPr>
          <w:rFonts w:hint="eastAsia" w:ascii="方正小标宋_GBK" w:hAnsi="宋体" w:eastAsia="方正小标宋_GBK" w:cs="Times New Roman"/>
          <w:kern w:val="2"/>
          <w:sz w:val="44"/>
          <w:szCs w:val="44"/>
          <w:highlight w:val="none"/>
          <w:lang w:val="en-US" w:eastAsia="zh-CN" w:bidi="ar-SA"/>
        </w:rPr>
        <w:t>新疆维吾尔自治区大型文化活动服务中心</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_GBK" w:hAnsi="宋体" w:eastAsia="方正小标宋_GBK" w:cs="Times New Roman"/>
          <w:kern w:val="2"/>
          <w:sz w:val="44"/>
          <w:szCs w:val="44"/>
          <w:highlight w:val="none"/>
          <w:lang w:val="en-US" w:eastAsia="zh-CN" w:bidi="ar-SA"/>
        </w:rPr>
      </w:pPr>
      <w:r>
        <w:rPr>
          <w:rFonts w:hint="eastAsia" w:ascii="方正小标宋_GBK" w:hAnsi="宋体" w:eastAsia="方正小标宋_GBK" w:cs="Times New Roman"/>
          <w:kern w:val="2"/>
          <w:sz w:val="44"/>
          <w:szCs w:val="44"/>
          <w:highlight w:val="none"/>
          <w:lang w:val="en-US" w:eastAsia="zh-CN" w:bidi="ar-SA"/>
        </w:rPr>
        <w:t>2024年度部门决算公开说明</w:t>
      </w:r>
    </w:p>
    <w:p>
      <w:r>
        <w:rPr>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hint="eastAsia" w:ascii="仿宋_GB2312" w:hAnsi="仿宋_GB2312" w:eastAsia="仿宋_GB2312" w:cs="仿宋_GB2312"/>
          <w:sz w:val="36"/>
          <w:szCs w:val="36"/>
        </w:rPr>
      </w:pPr>
      <w:r>
        <w:rPr>
          <w:rFonts w:hint="eastAsia" w:ascii="仿宋_GB2312" w:hAnsi="仿宋_GB2312" w:eastAsia="仿宋_GB2312" w:cs="仿宋_GB2312"/>
          <w:b/>
          <w:sz w:val="36"/>
          <w:szCs w:val="36"/>
        </w:rPr>
        <w:t>目</w:t>
      </w:r>
      <w:r>
        <w:rPr>
          <w:rFonts w:hint="eastAsia" w:ascii="仿宋_GB2312" w:hAnsi="仿宋_GB2312" w:eastAsia="仿宋_GB2312" w:cs="仿宋_GB2312"/>
          <w:b/>
          <w:sz w:val="36"/>
          <w:szCs w:val="36"/>
          <w:lang w:eastAsia="zh-CN"/>
        </w:rPr>
        <w:t xml:space="preserve"> </w:t>
      </w:r>
      <w:r>
        <w:rPr>
          <w:rFonts w:hint="eastAsia" w:ascii="仿宋_GB2312" w:hAnsi="仿宋_GB2312" w:eastAsia="仿宋_GB2312" w:cs="仿宋_GB2312"/>
          <w:b/>
          <w:sz w:val="36"/>
          <w:szCs w:val="36"/>
        </w:rPr>
        <w:t>录</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eastAsia="zh-CN"/>
        </w:rPr>
        <w:t xml:space="preserve"> </w:t>
      </w:r>
      <w:r>
        <w:rPr>
          <w:rFonts w:ascii="仿宋_GB2312" w:eastAsia="仿宋_GB2312"/>
          <w:b/>
          <w:sz w:val="32"/>
          <w:szCs w:val="32"/>
        </w:rPr>
        <w:t>单位概况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一、主要职能</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二、机构设置及人员情况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第二部分</w:t>
      </w:r>
      <w:r>
        <w:rPr>
          <w:rFonts w:hint="eastAsia" w:ascii="仿宋_GB2312" w:eastAsia="仿宋_GB2312"/>
          <w:b/>
          <w:sz w:val="32"/>
          <w:szCs w:val="32"/>
          <w:lang w:eastAsia="zh-CN"/>
        </w:rPr>
        <w:t xml:space="preserve"> </w:t>
      </w:r>
      <w:r>
        <w:rPr>
          <w:rFonts w:ascii="仿宋_GB2312" w:eastAsia="仿宋_GB2312"/>
          <w:b/>
          <w:sz w:val="32"/>
          <w:szCs w:val="32"/>
        </w:rPr>
        <w:t>部门决算情况说明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二、收入决算情况说明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三、支出决算情况说明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（二）政府采购情况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十二、其他需说明的事项</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第三部分</w:t>
      </w:r>
      <w:r>
        <w:rPr>
          <w:rFonts w:hint="eastAsia" w:ascii="仿宋_GB2312" w:eastAsia="仿宋_GB2312"/>
          <w:b/>
          <w:sz w:val="32"/>
          <w:szCs w:val="32"/>
          <w:lang w:eastAsia="zh-CN"/>
        </w:rPr>
        <w:t xml:space="preserve"> </w:t>
      </w:r>
      <w:r>
        <w:rPr>
          <w:rFonts w:ascii="仿宋_GB2312" w:eastAsia="仿宋_GB2312"/>
          <w:b/>
          <w:sz w:val="32"/>
          <w:szCs w:val="32"/>
        </w:rPr>
        <w:t>专业名词解释</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第四部分</w:t>
      </w:r>
      <w:r>
        <w:rPr>
          <w:rFonts w:hint="eastAsia" w:ascii="仿宋_GB2312" w:eastAsia="仿宋_GB2312"/>
          <w:b/>
          <w:sz w:val="32"/>
          <w:szCs w:val="32"/>
          <w:lang w:eastAsia="zh-CN"/>
        </w:rPr>
        <w:t xml:space="preserve"> </w:t>
      </w:r>
      <w:r>
        <w:rPr>
          <w:rFonts w:ascii="仿宋_GB2312" w:eastAsia="仿宋_GB2312"/>
          <w:b/>
          <w:sz w:val="32"/>
          <w:szCs w:val="32"/>
        </w:rPr>
        <w:t>部门决算报表（见附</w:t>
      </w:r>
      <w:r>
        <w:rPr>
          <w:rFonts w:hint="eastAsia" w:ascii="仿宋_GB2312" w:eastAsia="仿宋_GB2312"/>
          <w:b/>
          <w:sz w:val="32"/>
          <w:szCs w:val="32"/>
          <w:lang w:val="en-US" w:eastAsia="zh-CN"/>
        </w:rPr>
        <w:t>件1</w:t>
      </w:r>
      <w:r>
        <w:rPr>
          <w:rFonts w:ascii="仿宋_GB2312" w:eastAsia="仿宋_GB2312"/>
          <w:b/>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一、《收入支出决算总表》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二、《收入决算表》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三、《支出决算表》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lang w:val="en-US" w:eastAsia="zh-CN"/>
        </w:rPr>
        <w:t>五</w:t>
      </w:r>
      <w:r>
        <w:rPr>
          <w:rFonts w:ascii="仿宋_GB2312" w:eastAsia="仿宋_GB2312"/>
          <w:b/>
          <w:sz w:val="32"/>
          <w:szCs w:val="32"/>
        </w:rPr>
        <w:t>部分</w:t>
      </w:r>
      <w:r>
        <w:rPr>
          <w:rFonts w:hint="eastAsia" w:ascii="仿宋_GB2312" w:eastAsia="仿宋_GB2312"/>
          <w:b/>
          <w:sz w:val="32"/>
          <w:szCs w:val="32"/>
          <w:lang w:val="en-US" w:eastAsia="zh-CN"/>
        </w:rPr>
        <w:t xml:space="preserve"> 项目绩效自评表</w:t>
      </w:r>
      <w:r>
        <w:rPr>
          <w:rFonts w:ascii="仿宋_GB2312" w:eastAsia="仿宋_GB2312"/>
          <w:b/>
          <w:sz w:val="32"/>
          <w:szCs w:val="32"/>
        </w:rPr>
        <w:t>（见附</w:t>
      </w:r>
      <w:r>
        <w:rPr>
          <w:rFonts w:hint="eastAsia" w:ascii="仿宋_GB2312" w:eastAsia="仿宋_GB2312"/>
          <w:b/>
          <w:sz w:val="32"/>
          <w:szCs w:val="32"/>
          <w:lang w:val="en-US" w:eastAsia="zh-CN"/>
        </w:rPr>
        <w:t>件2</w:t>
      </w:r>
      <w:r>
        <w:rPr>
          <w:rFonts w:ascii="仿宋_GB2312" w:eastAsia="仿宋_GB2312"/>
          <w:b/>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after="0" w:line="560" w:lineRule="exact"/>
        <w:textAlignment w:val="auto"/>
      </w:pPr>
      <w:r>
        <w:rPr>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第一部分</w:t>
      </w:r>
      <w:r>
        <w:rPr>
          <w:rFonts w:hint="eastAsia" w:ascii="黑体" w:eastAsia="黑体"/>
          <w:sz w:val="32"/>
          <w:szCs w:val="32"/>
          <w:lang w:eastAsia="zh-CN"/>
        </w:rPr>
        <w:t xml:space="preserve"> </w:t>
      </w:r>
      <w:r>
        <w:rPr>
          <w:rFonts w:ascii="黑体" w:eastAsia="黑体"/>
          <w:sz w:val="32"/>
          <w:szCs w:val="32"/>
        </w:rPr>
        <w:t>单位概况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一、主要职能</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新疆维吾尔自治区大型文化活动服务中心为自治区大型文化活动提供服务，促进文化事业发展，承担中国新疆国际民族舞蹈节的组织、筹备工作；承办自治区大型文化活动。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二、机构设置及人员情况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新疆维吾尔自治区大型文化活动服务中心2024年度，实有人数5人，其中：在职人员5人，减少1人；离休人员0人，</w:t>
      </w:r>
      <w:r>
        <w:rPr>
          <w:rFonts w:hint="eastAsia" w:ascii="仿宋_GB2312" w:eastAsia="仿宋_GB2312"/>
          <w:sz w:val="32"/>
          <w:szCs w:val="32"/>
          <w:lang w:eastAsia="zh-CN"/>
        </w:rPr>
        <w:t>增加0人</w:t>
      </w:r>
      <w:r>
        <w:rPr>
          <w:rFonts w:ascii="仿宋_GB2312" w:eastAsia="仿宋_GB2312"/>
          <w:sz w:val="32"/>
          <w:szCs w:val="32"/>
        </w:rPr>
        <w:t>；退休人员0人，</w:t>
      </w:r>
      <w:r>
        <w:rPr>
          <w:rFonts w:hint="eastAsia" w:ascii="仿宋_GB2312" w:eastAsia="仿宋_GB2312"/>
          <w:sz w:val="32"/>
          <w:szCs w:val="32"/>
          <w:lang w:eastAsia="zh-CN"/>
        </w:rPr>
        <w:t>增加0人。</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新疆维吾尔自治区大型文化活动服务中心无下属预算单位，下设2个科室，分别是：业务办</w:t>
      </w:r>
      <w:r>
        <w:rPr>
          <w:rFonts w:hint="eastAsia" w:ascii="仿宋_GB2312" w:eastAsia="仿宋_GB2312"/>
          <w:sz w:val="32"/>
          <w:szCs w:val="32"/>
          <w:lang w:eastAsia="zh-CN"/>
        </w:rPr>
        <w:t>、</w:t>
      </w:r>
      <w:r>
        <w:rPr>
          <w:rFonts w:ascii="仿宋_GB2312" w:eastAsia="仿宋_GB2312"/>
          <w:sz w:val="32"/>
          <w:szCs w:val="32"/>
        </w:rPr>
        <w:t>筹备办。</w:t>
      </w:r>
    </w:p>
    <w:p>
      <w:pPr>
        <w:keepNext w:val="0"/>
        <w:keepLines w:val="0"/>
        <w:pageBreakBefore w:val="0"/>
        <w:widowControl/>
        <w:kinsoku/>
        <w:wordWrap/>
        <w:overflowPunct/>
        <w:topLinePunct w:val="0"/>
        <w:autoSpaceDE/>
        <w:autoSpaceDN/>
        <w:bidi w:val="0"/>
        <w:adjustRightInd/>
        <w:snapToGrid/>
        <w:spacing w:after="0" w:line="560" w:lineRule="exact"/>
        <w:textAlignment w:val="auto"/>
      </w:pPr>
      <w:r>
        <w:rPr>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第二部分</w:t>
      </w:r>
      <w:r>
        <w:rPr>
          <w:rFonts w:hint="eastAsia" w:ascii="黑体" w:eastAsia="黑体"/>
          <w:sz w:val="32"/>
          <w:szCs w:val="32"/>
          <w:lang w:eastAsia="zh-CN"/>
        </w:rPr>
        <w:t xml:space="preserve"> </w:t>
      </w:r>
      <w:r>
        <w:rPr>
          <w:rFonts w:ascii="黑体" w:eastAsia="黑体"/>
          <w:sz w:val="32"/>
          <w:szCs w:val="32"/>
        </w:rPr>
        <w:t>部门决算情况说明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2024年度收入总计419.31万元，</w:t>
      </w:r>
      <w:r>
        <w:rPr>
          <w:rFonts w:ascii="仿宋_GB2312" w:eastAsia="仿宋_GB2312"/>
          <w:sz w:val="32"/>
          <w:szCs w:val="32"/>
        </w:rPr>
        <w:t>其中：本年收入合计128.51万元，使用非财政拨款结余（含专用结余）0.00万元，年初结转和结余290.80万元。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2024年度支出总计419.31万元，</w:t>
      </w:r>
      <w:r>
        <w:rPr>
          <w:rFonts w:ascii="仿宋_GB2312" w:eastAsia="仿宋_GB2312"/>
          <w:sz w:val="32"/>
          <w:szCs w:val="32"/>
        </w:rPr>
        <w:t>其中：本年支出合计377.48万元，结余分配0.00万元，年末结转和结余41.83万元。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收入支出总体与上年相比，</w:t>
      </w:r>
      <w:r>
        <w:rPr>
          <w:rFonts w:ascii="仿宋_GB2312" w:eastAsia="仿宋_GB2312"/>
          <w:sz w:val="32"/>
          <w:szCs w:val="32"/>
        </w:rPr>
        <w:t>减少2,627.82万元，下降86.24%，主要原因是：项目资金减少，2023年度举办第六届中国新疆国际民族舞蹈节，舞蹈节两年举办一届，2</w:t>
      </w:r>
      <w:r>
        <w:rPr>
          <w:rFonts w:hint="eastAsia" w:ascii="仿宋_GB2312" w:eastAsia="仿宋_GB2312"/>
          <w:sz w:val="32"/>
          <w:szCs w:val="32"/>
          <w:lang w:val="en-US" w:eastAsia="zh-CN"/>
        </w:rPr>
        <w:t>02</w:t>
      </w:r>
      <w:r>
        <w:rPr>
          <w:rFonts w:ascii="仿宋_GB2312" w:eastAsia="仿宋_GB2312"/>
          <w:sz w:val="32"/>
          <w:szCs w:val="32"/>
        </w:rPr>
        <w:t>4年财政未拨付此项资金，也未产生门票收入，导致</w:t>
      </w:r>
      <w:r>
        <w:rPr>
          <w:rFonts w:hint="eastAsia" w:ascii="仿宋_GB2312" w:eastAsia="仿宋_GB2312"/>
          <w:sz w:val="32"/>
          <w:szCs w:val="32"/>
          <w:lang w:val="en-US" w:eastAsia="zh-CN"/>
        </w:rPr>
        <w:t>较上年减少</w:t>
      </w:r>
      <w:r>
        <w:rPr>
          <w:rFonts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二、收入决算情况说明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本年收入128.51万元，</w:t>
      </w:r>
      <w:r>
        <w:rPr>
          <w:rFonts w:ascii="仿宋_GB2312" w:eastAsia="仿宋_GB2312"/>
          <w:sz w:val="32"/>
          <w:szCs w:val="32"/>
        </w:rPr>
        <w:t>其中：财政拨款收入128.36万元,占99.88%；上级补助收入0.00万元,占0.00%；事业收入0.00万元，占0.00%；经营收入0.00万元,占0.00%；附属单位上缴收入0.00万元，占0.00%；其他收入0.16万元，占0.12%。</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三、支出决算情况说明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本年支出377.48万元，</w:t>
      </w:r>
      <w:r>
        <w:rPr>
          <w:rFonts w:ascii="仿宋_GB2312" w:eastAsia="仿宋_GB2312"/>
          <w:sz w:val="32"/>
          <w:szCs w:val="32"/>
        </w:rPr>
        <w:t>其中：基本支出128.36万元，占34.00%；项目支出249.12万元，占66.00%；上缴上级支出0.00万元，占0.00%；经营支出0.00万元，占0.00%；对附属单位补助支出0.00万元，占0.00%。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2024年度财政拨款收入总计128.36万元，</w:t>
      </w:r>
      <w:r>
        <w:rPr>
          <w:rFonts w:ascii="仿宋_GB2312" w:eastAsia="仿宋_GB2312"/>
          <w:sz w:val="32"/>
          <w:szCs w:val="32"/>
        </w:rPr>
        <w:t>其中：年初财政拨款结转和结余0.00万元，本年财政拨款收入128.36万元。</w:t>
      </w:r>
      <w:r>
        <w:rPr>
          <w:rFonts w:ascii="仿宋_GB2312" w:eastAsia="仿宋_GB2312"/>
          <w:b/>
          <w:sz w:val="32"/>
          <w:szCs w:val="32"/>
        </w:rPr>
        <w:t>财政拨款支出总计128.36万元，</w:t>
      </w:r>
      <w:r>
        <w:rPr>
          <w:rFonts w:ascii="仿宋_GB2312" w:eastAsia="仿宋_GB2312"/>
          <w:sz w:val="32"/>
          <w:szCs w:val="32"/>
        </w:rPr>
        <w:t>其中：年末财政拨款结转和结余0.00万元，本年财政拨款支出128.36万元。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财政拨款收入支出总体与上年相比，</w:t>
      </w:r>
      <w:r>
        <w:rPr>
          <w:rFonts w:ascii="仿宋_GB2312" w:eastAsia="仿宋_GB2312"/>
          <w:sz w:val="32"/>
          <w:szCs w:val="32"/>
        </w:rPr>
        <w:t>减少2,416.37万元，下降94.96%，主要原因是：财政拨款的项目资金收入</w:t>
      </w:r>
      <w:r>
        <w:rPr>
          <w:rFonts w:hint="eastAsia" w:ascii="仿宋_GB2312" w:eastAsia="仿宋_GB2312"/>
          <w:sz w:val="32"/>
          <w:szCs w:val="32"/>
          <w:lang w:val="en-US" w:eastAsia="zh-CN"/>
        </w:rPr>
        <w:t>支出</w:t>
      </w:r>
      <w:r>
        <w:rPr>
          <w:rFonts w:ascii="仿宋_GB2312" w:eastAsia="仿宋_GB2312"/>
          <w:sz w:val="32"/>
          <w:szCs w:val="32"/>
        </w:rPr>
        <w:t>减少，2023年度举办第六届中国新疆国际民族舞蹈节，舞蹈节两年举办一届，2024年财政未拨付此项资金，导致财政拨款收入</w:t>
      </w:r>
      <w:r>
        <w:rPr>
          <w:rFonts w:hint="eastAsia" w:ascii="仿宋_GB2312" w:eastAsia="仿宋_GB2312"/>
          <w:sz w:val="32"/>
          <w:szCs w:val="32"/>
          <w:lang w:val="en-US" w:eastAsia="zh-CN"/>
        </w:rPr>
        <w:t>支出较上年</w:t>
      </w:r>
      <w:r>
        <w:rPr>
          <w:rFonts w:ascii="仿宋_GB2312" w:eastAsia="仿宋_GB2312"/>
          <w:sz w:val="32"/>
          <w:szCs w:val="32"/>
        </w:rPr>
        <w:t>减少。</w:t>
      </w:r>
      <w:r>
        <w:rPr>
          <w:rFonts w:ascii="仿宋_GB2312" w:eastAsia="仿宋_GB2312"/>
          <w:b/>
          <w:sz w:val="32"/>
          <w:szCs w:val="32"/>
        </w:rPr>
        <w:t>与年初预算相比，</w:t>
      </w:r>
      <w:r>
        <w:rPr>
          <w:rFonts w:ascii="仿宋_GB2312" w:eastAsia="仿宋_GB2312"/>
          <w:sz w:val="32"/>
          <w:szCs w:val="32"/>
        </w:rPr>
        <w:t>年初预算数123.81万元，决算数128.36万元，预决算差异率3.67%，主要原因是：人员正常增资导致人员经费增加。</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2024年度一般公共预算财政拨款支出128.36万元，</w:t>
      </w:r>
      <w:r>
        <w:rPr>
          <w:rFonts w:ascii="仿宋_GB2312" w:eastAsia="仿宋_GB2312"/>
          <w:sz w:val="32"/>
          <w:szCs w:val="32"/>
        </w:rPr>
        <w:t>占本年支出合计的34.00%。</w:t>
      </w:r>
      <w:r>
        <w:rPr>
          <w:rFonts w:ascii="仿宋_GB2312" w:eastAsia="仿宋_GB2312"/>
          <w:b/>
          <w:sz w:val="32"/>
          <w:szCs w:val="32"/>
        </w:rPr>
        <w:t>与上年相比，</w:t>
      </w:r>
      <w:r>
        <w:rPr>
          <w:rFonts w:ascii="仿宋_GB2312" w:eastAsia="仿宋_GB2312"/>
          <w:sz w:val="32"/>
          <w:szCs w:val="32"/>
        </w:rPr>
        <w:t>减少2,416.37万元，下降94.96%，主要原因是：财政拨款的项目资金支出减少，2023年度举办第六届中国新疆国际民族舞蹈节，舞蹈节两年举办一届，2024年一般公共预算财政拨款支出均为基本支出，没有项目支出。</w:t>
      </w:r>
      <w:r>
        <w:rPr>
          <w:rFonts w:ascii="仿宋_GB2312" w:eastAsia="仿宋_GB2312"/>
          <w:b/>
          <w:sz w:val="32"/>
          <w:szCs w:val="32"/>
        </w:rPr>
        <w:t>与年初预算相比，</w:t>
      </w:r>
      <w:r>
        <w:rPr>
          <w:rFonts w:ascii="仿宋_GB2312" w:eastAsia="仿宋_GB2312"/>
          <w:sz w:val="32"/>
          <w:szCs w:val="32"/>
        </w:rPr>
        <w:t>年初预算数123.81万元，决算数128.36万元，预决算差异率3.67%，主要原因是：人员正常增资导致人员经费增加。</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1.</w:t>
      </w:r>
      <w:r>
        <w:rPr>
          <w:rFonts w:ascii="仿宋_GB2312" w:eastAsia="仿宋_GB2312"/>
          <w:sz w:val="32"/>
          <w:szCs w:val="32"/>
        </w:rPr>
        <w:t>文化旅游体育与传媒支出（类）128.36万元，占100.00%。</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（三）一般公共预算财政拨款支出决算具体情况</w:t>
      </w:r>
    </w:p>
    <w:p>
      <w:pPr>
        <w:keepNext w:val="0"/>
        <w:keepLines w:val="0"/>
        <w:pageBreakBefore w:val="0"/>
        <w:widowControl/>
        <w:numPr>
          <w:ilvl w:val="0"/>
          <w:numId w:val="1"/>
        </w:numPr>
        <w:kinsoku/>
        <w:wordWrap/>
        <w:overflowPunct/>
        <w:topLinePunct w:val="0"/>
        <w:autoSpaceDE/>
        <w:autoSpaceDN/>
        <w:bidi w:val="0"/>
        <w:adjustRightInd/>
        <w:snapToGrid/>
        <w:spacing w:after="0" w:line="560" w:lineRule="exact"/>
        <w:jc w:val="both"/>
        <w:textAlignment w:val="auto"/>
        <w:rPr>
          <w:rFonts w:ascii="仿宋_GB2312" w:eastAsia="仿宋_GB2312"/>
          <w:sz w:val="32"/>
          <w:szCs w:val="32"/>
        </w:rPr>
      </w:pPr>
      <w:r>
        <w:rPr>
          <w:rFonts w:ascii="仿宋_GB2312" w:eastAsia="仿宋_GB2312"/>
          <w:sz w:val="32"/>
          <w:szCs w:val="32"/>
        </w:rPr>
        <w:t>文化旅游体育与传媒支出（类）文化和旅游（款）文化活动（项）：支出决算数为128.36万元，比上年决算减少2,416.37万元，下降94.96%，主要原因是：财政拨款的项目资金支出减少，2023年度举办第六届中国新疆国际民族舞蹈节，舞蹈节两年举办一届，2024年财政拨款支出没有项目支出。</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2024年度一般公共预算财政拨款基本支出128.36万元，其中：</w:t>
      </w:r>
      <w:r>
        <w:rPr>
          <w:rFonts w:ascii="仿宋_GB2312" w:eastAsia="仿宋_GB2312"/>
          <w:b/>
          <w:sz w:val="32"/>
          <w:szCs w:val="32"/>
        </w:rPr>
        <w:t>人员经费119.29万元，</w:t>
      </w:r>
      <w:r>
        <w:rPr>
          <w:rFonts w:ascii="仿宋_GB2312" w:eastAsia="仿宋_GB2312"/>
          <w:sz w:val="32"/>
          <w:szCs w:val="32"/>
        </w:rPr>
        <w:t>包括：基本工资、津贴补贴、奖金、绩效工资、机关事业单位基本养老保险缴费、职工基本医疗保险缴费、公务员医疗补助缴费、其他社会保障缴费</w:t>
      </w:r>
      <w:r>
        <w:rPr>
          <w:rFonts w:hint="eastAsia" w:ascii="仿宋_GB2312" w:eastAsia="仿宋_GB2312"/>
          <w:sz w:val="32"/>
          <w:szCs w:val="32"/>
          <w:lang w:val="en-US" w:eastAsia="zh-CN"/>
        </w:rPr>
        <w:t>、</w:t>
      </w:r>
      <w:r>
        <w:rPr>
          <w:rFonts w:ascii="仿宋_GB2312" w:eastAsia="仿宋_GB2312"/>
          <w:sz w:val="32"/>
          <w:szCs w:val="32"/>
        </w:rPr>
        <w:t>住房公积金。</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公用经费9.07万元，</w:t>
      </w:r>
      <w:r>
        <w:rPr>
          <w:rFonts w:ascii="仿宋_GB2312" w:eastAsia="仿宋_GB2312"/>
          <w:sz w:val="32"/>
          <w:szCs w:val="32"/>
        </w:rPr>
        <w:t>包括：办公费、水费、电费、差旅费、工会经费、福利费</w:t>
      </w:r>
      <w:r>
        <w:rPr>
          <w:rFonts w:hint="eastAsia" w:ascii="仿宋_GB2312" w:eastAsia="仿宋_GB2312"/>
          <w:sz w:val="32"/>
          <w:szCs w:val="32"/>
          <w:lang w:val="en-US" w:eastAsia="zh-CN"/>
        </w:rPr>
        <w:t>、</w:t>
      </w:r>
      <w:r>
        <w:rPr>
          <w:rFonts w:ascii="仿宋_GB2312" w:eastAsia="仿宋_GB2312"/>
          <w:sz w:val="32"/>
          <w:szCs w:val="32"/>
        </w:rPr>
        <w:t>公务用车运行维护费。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本单位本年度无政府性基金预算财政拨款收入</w:t>
      </w:r>
      <w:r>
        <w:rPr>
          <w:rFonts w:hint="eastAsia" w:ascii="仿宋_GB2312" w:eastAsia="仿宋_GB2312"/>
          <w:sz w:val="32"/>
          <w:szCs w:val="32"/>
          <w:lang w:eastAsia="zh-CN"/>
        </w:rPr>
        <w:t>、</w:t>
      </w:r>
      <w:r>
        <w:rPr>
          <w:rFonts w:ascii="仿宋_GB2312" w:eastAsia="仿宋_GB2312"/>
          <w:sz w:val="32"/>
          <w:szCs w:val="32"/>
        </w:rPr>
        <w:t>支出及结转和结余</w:t>
      </w:r>
      <w:r>
        <w:rPr>
          <w:rFonts w:hint="eastAsia" w:ascii="仿宋_GB2312" w:eastAsia="仿宋_GB2312"/>
          <w:sz w:val="32"/>
          <w:szCs w:val="32"/>
          <w:lang w:eastAsia="zh-CN"/>
        </w:rPr>
        <w:t>，</w:t>
      </w:r>
      <w:r>
        <w:rPr>
          <w:rFonts w:ascii="仿宋_GB2312" w:eastAsia="仿宋_GB2312"/>
          <w:sz w:val="32"/>
          <w:szCs w:val="32"/>
        </w:rPr>
        <w:t>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九、财政拨款</w:t>
      </w:r>
      <w:r>
        <w:rPr>
          <w:rFonts w:hint="eastAsia" w:ascii="黑体" w:eastAsia="黑体"/>
          <w:sz w:val="32"/>
          <w:szCs w:val="32"/>
          <w:lang w:eastAsia="zh-CN"/>
        </w:rPr>
        <w:t>“</w:t>
      </w:r>
      <w:r>
        <w:rPr>
          <w:rFonts w:ascii="黑体" w:eastAsia="黑体"/>
          <w:sz w:val="32"/>
          <w:szCs w:val="32"/>
        </w:rPr>
        <w:t>三公</w:t>
      </w:r>
      <w:r>
        <w:rPr>
          <w:rFonts w:hint="eastAsia" w:ascii="黑体" w:eastAsia="黑体"/>
          <w:sz w:val="32"/>
          <w:szCs w:val="32"/>
          <w:lang w:eastAsia="zh-CN"/>
        </w:rPr>
        <w:t>”</w:t>
      </w:r>
      <w:r>
        <w:rPr>
          <w:rFonts w:ascii="黑体" w:eastAsia="黑体"/>
          <w:sz w:val="32"/>
          <w:szCs w:val="32"/>
        </w:rPr>
        <w:t>经费支出决算情况说明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2024年度财政拨款</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经费支出1.36万元，</w:t>
      </w:r>
      <w:r>
        <w:rPr>
          <w:rFonts w:hint="eastAsia" w:ascii="仿宋_GB2312" w:eastAsia="仿宋_GB2312"/>
          <w:sz w:val="32"/>
          <w:szCs w:val="32"/>
          <w:lang w:eastAsia="zh-CN"/>
        </w:rPr>
        <w:t>比上年增加0.00万元，增长0.00%</w:t>
      </w:r>
      <w:r>
        <w:rPr>
          <w:rFonts w:ascii="仿宋_GB2312" w:eastAsia="仿宋_GB2312"/>
          <w:sz w:val="32"/>
          <w:szCs w:val="32"/>
        </w:rPr>
        <w:t>，主要原因是：2023年与2024年均未安排因公出国（境）费和公务接待费的经费，2024年度本单位公务用车保有量与上年相比无变化，相应支出与上年相比也无变动。其中：因公出国（境）费支出0.00万元,占0.00%，</w:t>
      </w:r>
      <w:r>
        <w:rPr>
          <w:rFonts w:hint="eastAsia" w:ascii="仿宋_GB2312" w:eastAsia="仿宋_GB2312"/>
          <w:sz w:val="32"/>
          <w:szCs w:val="32"/>
          <w:lang w:eastAsia="zh-CN"/>
        </w:rPr>
        <w:t>比上年增加0.00万元，增长0.00%</w:t>
      </w:r>
      <w:r>
        <w:rPr>
          <w:rFonts w:ascii="仿宋_GB2312" w:eastAsia="仿宋_GB2312"/>
          <w:sz w:val="32"/>
          <w:szCs w:val="32"/>
        </w:rPr>
        <w:t>，主要原因是：2023年与2024年均未安排因公出国（境）经费；公务用车购置及运行维护费支出1.36万元，占100.00%，</w:t>
      </w:r>
      <w:r>
        <w:rPr>
          <w:rFonts w:hint="eastAsia" w:ascii="仿宋_GB2312" w:eastAsia="仿宋_GB2312"/>
          <w:sz w:val="32"/>
          <w:szCs w:val="32"/>
          <w:lang w:eastAsia="zh-CN"/>
        </w:rPr>
        <w:t>比上年增加0.00万元，增长0.00%</w:t>
      </w:r>
      <w:r>
        <w:rPr>
          <w:rFonts w:ascii="仿宋_GB2312" w:eastAsia="仿宋_GB2312"/>
          <w:sz w:val="32"/>
          <w:szCs w:val="32"/>
        </w:rPr>
        <w:t>，主要原因是：</w:t>
      </w:r>
      <w:r>
        <w:rPr>
          <w:rFonts w:ascii="仿宋_GB2312" w:eastAsia="仿宋_GB2312"/>
          <w:b w:val="0"/>
          <w:color w:val="auto"/>
          <w:sz w:val="32"/>
          <w:szCs w:val="32"/>
        </w:rPr>
        <w:t>严格执行</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经费预算，与上年支出</w:t>
      </w:r>
      <w:r>
        <w:rPr>
          <w:rFonts w:hint="eastAsia" w:ascii="仿宋_GB2312" w:eastAsia="仿宋_GB2312"/>
          <w:b w:val="0"/>
          <w:color w:val="auto"/>
          <w:sz w:val="32"/>
          <w:szCs w:val="32"/>
          <w:lang w:val="en-US" w:eastAsia="zh-CN"/>
        </w:rPr>
        <w:t>一致</w:t>
      </w:r>
      <w:r>
        <w:rPr>
          <w:rFonts w:ascii="仿宋_GB2312" w:eastAsia="仿宋_GB2312"/>
          <w:sz w:val="32"/>
          <w:szCs w:val="32"/>
        </w:rPr>
        <w:t>；公务接待费支出0.00万元，占0.00%，</w:t>
      </w:r>
      <w:r>
        <w:rPr>
          <w:rFonts w:hint="eastAsia" w:ascii="仿宋_GB2312" w:eastAsia="仿宋_GB2312"/>
          <w:sz w:val="32"/>
          <w:szCs w:val="32"/>
          <w:lang w:eastAsia="zh-CN"/>
        </w:rPr>
        <w:t>比上年增加0.00万元，增长0.00%</w:t>
      </w:r>
      <w:r>
        <w:rPr>
          <w:rFonts w:ascii="仿宋_GB2312" w:eastAsia="仿宋_GB2312"/>
          <w:sz w:val="32"/>
          <w:szCs w:val="32"/>
        </w:rPr>
        <w:t>，主要原因是：2023年与2024年均未安排公务接待经费。</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textAlignment w:val="auto"/>
        <w:rPr>
          <w:rFonts w:ascii="仿宋_GB2312" w:eastAsia="仿宋_GB2312"/>
          <w:b/>
          <w:sz w:val="32"/>
          <w:szCs w:val="32"/>
        </w:rPr>
      </w:pPr>
      <w:r>
        <w:rPr>
          <w:rFonts w:ascii="仿宋_GB2312" w:eastAsia="仿宋_GB2312"/>
          <w:b/>
          <w:sz w:val="32"/>
          <w:szCs w:val="32"/>
        </w:rPr>
        <w:t>具体情况如下：</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因公出国（境）费支出0.00万元，开支内容包括</w:t>
      </w:r>
      <w:r>
        <w:rPr>
          <w:rFonts w:hint="eastAsia" w:ascii="仿宋_GB2312" w:eastAsia="仿宋_GB2312"/>
          <w:sz w:val="32"/>
          <w:szCs w:val="32"/>
          <w:lang w:eastAsia="zh-CN"/>
        </w:rPr>
        <w:t>：本单位</w:t>
      </w:r>
      <w:r>
        <w:rPr>
          <w:rFonts w:ascii="仿宋_GB2312" w:eastAsia="仿宋_GB2312"/>
          <w:sz w:val="32"/>
          <w:szCs w:val="32"/>
        </w:rPr>
        <w:t>2024年未安排因公出国（境）预算经费</w:t>
      </w:r>
      <w:r>
        <w:rPr>
          <w:rFonts w:hint="eastAsia" w:ascii="仿宋_GB2312" w:eastAsia="仿宋_GB2312"/>
          <w:sz w:val="32"/>
          <w:szCs w:val="32"/>
          <w:lang w:eastAsia="zh-CN"/>
        </w:rPr>
        <w:t>，因此没有此项开支</w:t>
      </w:r>
      <w:r>
        <w:rPr>
          <w:rFonts w:ascii="仿宋_GB2312" w:eastAsia="仿宋_GB2312"/>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公务用车购置及运行维护费1.36万元，其中：公务用车购置费0.00万元，公务用车运行维护费1.36万元。公务用车运行维护费开支内容包括</w:t>
      </w:r>
      <w:r>
        <w:rPr>
          <w:rFonts w:hint="eastAsia" w:ascii="仿宋_GB2312" w:eastAsia="仿宋_GB2312"/>
          <w:sz w:val="32"/>
          <w:szCs w:val="32"/>
          <w:lang w:eastAsia="zh-CN"/>
        </w:rPr>
        <w:t>：</w:t>
      </w:r>
      <w:r>
        <w:rPr>
          <w:rFonts w:ascii="仿宋_GB2312" w:eastAsia="仿宋_GB2312"/>
          <w:sz w:val="32"/>
          <w:szCs w:val="32"/>
        </w:rPr>
        <w:t>车辆保险费0.4万元，车辆维修维护费0.96万元。公务用车购置数0辆，公务用车保有量1辆。国有资产占用情况中固定资产车辆1辆，与公务用车保有量差异原因是：</w:t>
      </w:r>
      <w:r>
        <w:rPr>
          <w:rFonts w:hint="eastAsia" w:ascii="仿宋_GB2312" w:eastAsia="仿宋_GB2312"/>
          <w:sz w:val="32"/>
          <w:szCs w:val="32"/>
          <w:lang w:val="zh-CN"/>
        </w:rPr>
        <w:t>国有资产占用情况中的车辆数与公务用车保有量无差异，本单位车辆编制1</w:t>
      </w:r>
      <w:r>
        <w:rPr>
          <w:rFonts w:hint="eastAsia" w:ascii="仿宋_GB2312" w:eastAsia="仿宋_GB2312"/>
          <w:sz w:val="32"/>
          <w:szCs w:val="32"/>
        </w:rPr>
        <w:t>辆</w:t>
      </w:r>
      <w:r>
        <w:rPr>
          <w:rFonts w:hint="eastAsia" w:ascii="仿宋_GB2312" w:eastAsia="仿宋_GB2312"/>
          <w:sz w:val="32"/>
          <w:szCs w:val="32"/>
          <w:lang w:val="zh-CN"/>
        </w:rPr>
        <w:t>，公务用车数量1</w:t>
      </w:r>
      <w:r>
        <w:rPr>
          <w:rFonts w:hint="eastAsia" w:ascii="仿宋_GB2312" w:eastAsia="仿宋_GB2312"/>
          <w:sz w:val="32"/>
          <w:szCs w:val="32"/>
        </w:rPr>
        <w:t>辆</w:t>
      </w:r>
      <w:r>
        <w:rPr>
          <w:rFonts w:hint="eastAsia" w:ascii="仿宋_GB2312" w:eastAsia="仿宋_GB2312"/>
          <w:sz w:val="32"/>
          <w:szCs w:val="32"/>
          <w:lang w:val="zh-CN"/>
        </w:rPr>
        <w:t>，无差异</w:t>
      </w:r>
      <w:r>
        <w:rPr>
          <w:rFonts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公务接待费0.00万元，开支内容包括</w:t>
      </w:r>
      <w:r>
        <w:rPr>
          <w:rFonts w:hint="eastAsia" w:ascii="仿宋_GB2312" w:eastAsia="仿宋_GB2312"/>
          <w:sz w:val="32"/>
          <w:szCs w:val="32"/>
          <w:lang w:eastAsia="zh-CN"/>
        </w:rPr>
        <w:t>：</w:t>
      </w:r>
      <w:r>
        <w:rPr>
          <w:rFonts w:ascii="仿宋_GB2312" w:eastAsia="仿宋_GB2312"/>
          <w:sz w:val="32"/>
          <w:szCs w:val="32"/>
        </w:rPr>
        <w:t>2024年未安排公务接待预算经费</w:t>
      </w:r>
      <w:r>
        <w:rPr>
          <w:rFonts w:hint="eastAsia" w:ascii="仿宋_GB2312" w:eastAsia="仿宋_GB2312"/>
          <w:sz w:val="32"/>
          <w:szCs w:val="32"/>
          <w:lang w:eastAsia="zh-CN"/>
        </w:rPr>
        <w:t>，因此无此项开支</w:t>
      </w:r>
      <w:r>
        <w:rPr>
          <w:rFonts w:ascii="仿宋_GB2312" w:eastAsia="仿宋_GB2312"/>
          <w:sz w:val="32"/>
          <w:szCs w:val="32"/>
        </w:rPr>
        <w:t>。单位全年安排的国内公务接待0批次，0人次。</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与全年预算相比，</w:t>
      </w:r>
      <w:r>
        <w:rPr>
          <w:rFonts w:ascii="仿宋_GB2312" w:eastAsia="仿宋_GB2312"/>
          <w:sz w:val="32"/>
          <w:szCs w:val="32"/>
        </w:rPr>
        <w:t>财政拨款</w:t>
      </w:r>
      <w:r>
        <w:rPr>
          <w:rFonts w:hint="eastAsia" w:ascii="仿宋_GB2312" w:eastAsia="仿宋_GB2312"/>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sz w:val="32"/>
          <w:szCs w:val="32"/>
        </w:rPr>
        <w:t>经费支出全年预算数1.36万元，决算数1.36万元，预决算差异率0.00%，主要原因是：</w:t>
      </w:r>
      <w:r>
        <w:rPr>
          <w:rFonts w:ascii="仿宋_GB2312" w:eastAsia="仿宋_GB2312"/>
          <w:b w:val="0"/>
          <w:sz w:val="32"/>
          <w:szCs w:val="32"/>
        </w:rPr>
        <w:t>严格执行</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sz w:val="32"/>
          <w:szCs w:val="32"/>
        </w:rPr>
        <w:t>经费预算，本年支出与预算保持</w:t>
      </w:r>
      <w:r>
        <w:rPr>
          <w:rFonts w:hint="eastAsia" w:ascii="仿宋_GB2312" w:eastAsia="仿宋_GB2312"/>
          <w:b w:val="0"/>
          <w:sz w:val="32"/>
          <w:szCs w:val="32"/>
          <w:lang w:val="en-US" w:eastAsia="zh-CN"/>
        </w:rPr>
        <w:t>一致</w:t>
      </w:r>
      <w:r>
        <w:rPr>
          <w:rFonts w:ascii="仿宋_GB2312" w:eastAsia="仿宋_GB2312"/>
          <w:sz w:val="32"/>
          <w:szCs w:val="32"/>
        </w:rPr>
        <w:t>。其中：因公出国（境）费全年预算数0.00万元，决算数0.00万元，预决算差异率0.00%，主要原因是：2024年未安排因公出国（境）经费</w:t>
      </w:r>
      <w:r>
        <w:rPr>
          <w:rFonts w:hint="eastAsia" w:ascii="仿宋_GB2312" w:eastAsia="仿宋_GB2312"/>
          <w:sz w:val="32"/>
          <w:szCs w:val="32"/>
          <w:lang w:eastAsia="zh-CN"/>
        </w:rPr>
        <w:t>支出；</w:t>
      </w:r>
      <w:r>
        <w:rPr>
          <w:rFonts w:ascii="仿宋_GB2312" w:eastAsia="仿宋_GB2312"/>
          <w:sz w:val="32"/>
          <w:szCs w:val="32"/>
        </w:rPr>
        <w:t>公务用车购置费全年预算数0.00万元，决算数0.00万元，预决算差异率0.00%，主要原因是：2024年未安排公务用车购置经费</w:t>
      </w:r>
      <w:r>
        <w:rPr>
          <w:rFonts w:hint="eastAsia" w:ascii="仿宋_GB2312" w:eastAsia="仿宋_GB2312"/>
          <w:sz w:val="32"/>
          <w:szCs w:val="32"/>
          <w:lang w:eastAsia="zh-CN"/>
        </w:rPr>
        <w:t>支出；</w:t>
      </w:r>
      <w:r>
        <w:rPr>
          <w:rFonts w:ascii="仿宋_GB2312" w:eastAsia="仿宋_GB2312"/>
          <w:sz w:val="32"/>
          <w:szCs w:val="32"/>
        </w:rPr>
        <w:t>公务用车运行</w:t>
      </w:r>
      <w:r>
        <w:rPr>
          <w:rFonts w:hint="eastAsia" w:ascii="仿宋_GB2312" w:eastAsia="仿宋_GB2312"/>
          <w:sz w:val="32"/>
          <w:szCs w:val="32"/>
          <w:lang w:val="en-US" w:eastAsia="zh-CN"/>
        </w:rPr>
        <w:t>维护</w:t>
      </w:r>
      <w:r>
        <w:rPr>
          <w:rFonts w:ascii="仿宋_GB2312" w:eastAsia="仿宋_GB2312"/>
          <w:sz w:val="32"/>
          <w:szCs w:val="32"/>
        </w:rPr>
        <w:t>费全年预算数1.36万元，决算数1.36万元，预决算差异率0.00%，主要原因是：本单位公务用车运行费经费支出严格按年初预算执行，</w:t>
      </w:r>
      <w:r>
        <w:rPr>
          <w:rFonts w:ascii="仿宋_GB2312" w:eastAsia="仿宋_GB2312"/>
          <w:b w:val="0"/>
          <w:sz w:val="32"/>
          <w:szCs w:val="32"/>
        </w:rPr>
        <w:t>本年支出与预算保持</w:t>
      </w:r>
      <w:r>
        <w:rPr>
          <w:rFonts w:hint="eastAsia" w:ascii="仿宋_GB2312" w:eastAsia="仿宋_GB2312"/>
          <w:b w:val="0"/>
          <w:sz w:val="32"/>
          <w:szCs w:val="32"/>
          <w:lang w:val="en-US" w:eastAsia="zh-CN"/>
        </w:rPr>
        <w:t>一致</w:t>
      </w:r>
      <w:r>
        <w:rPr>
          <w:rFonts w:hint="eastAsia" w:ascii="仿宋_GB2312" w:eastAsia="仿宋_GB2312"/>
          <w:sz w:val="32"/>
          <w:szCs w:val="32"/>
          <w:lang w:eastAsia="zh-CN"/>
        </w:rPr>
        <w:t>；</w:t>
      </w:r>
      <w:r>
        <w:rPr>
          <w:rFonts w:ascii="仿宋_GB2312" w:eastAsia="仿宋_GB2312"/>
          <w:sz w:val="32"/>
          <w:szCs w:val="32"/>
        </w:rPr>
        <w:t>公务接待费全年预算数0.00万元，决算数0.00万元，预决算差异率0.00%，主要原因是：2024年未安排公务接待经费</w:t>
      </w:r>
      <w:r>
        <w:rPr>
          <w:rFonts w:hint="eastAsia" w:ascii="仿宋_GB2312" w:eastAsia="仿宋_GB2312"/>
          <w:sz w:val="32"/>
          <w:szCs w:val="32"/>
          <w:lang w:eastAsia="zh-CN"/>
        </w:rPr>
        <w:t>支出</w:t>
      </w:r>
      <w:r>
        <w:rPr>
          <w:rFonts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2024年度新疆维吾尔自治区大型文化活动服务中心公用经费支出9.07万元，比上年增加1.13万元，增长14.23%，主要原因是：工会经费、福利费等</w:t>
      </w:r>
      <w:r>
        <w:rPr>
          <w:rFonts w:hint="eastAsia" w:ascii="仿宋_GB2312" w:eastAsia="仿宋_GB2312"/>
          <w:sz w:val="32"/>
          <w:szCs w:val="32"/>
          <w:lang w:val="en-US" w:eastAsia="zh-CN"/>
        </w:rPr>
        <w:t>支出</w:t>
      </w:r>
      <w:r>
        <w:rPr>
          <w:rFonts w:ascii="仿宋_GB2312" w:eastAsia="仿宋_GB2312"/>
          <w:sz w:val="32"/>
          <w:szCs w:val="32"/>
        </w:rPr>
        <w:t>比上年增加。</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（二）政府采购情况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2024年度政府采购支出总额1.86万元，其中：政府采购货物支出0.34万元、政府采购工程支出0.00万元、政府采购服务支出1.52万元。</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授予中小企业合同金额1.46万元，占政府采购支出总额的78.49%，其中：授予小微企业合同金额1.34万元，占政府采购支出总额的72.04%。</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截至2024年12月31日，房屋0.00平方米，价值0.00万元。车辆1辆，价值21.80万元，其中：副部（省）级及以上领导用车0辆、主要负责人用车0辆、机要通信用车0辆、应急保障用车0辆、执法执勤用车0辆、特种专业技术用车0辆、离退休干部服务用车0辆、其他用车1辆，其他用车主要是：一般公务用车</w:t>
      </w:r>
      <w:r>
        <w:rPr>
          <w:rFonts w:hint="eastAsia" w:ascii="仿宋_GB2312" w:eastAsia="仿宋_GB2312"/>
          <w:sz w:val="32"/>
          <w:szCs w:val="32"/>
          <w:lang w:eastAsia="zh-CN"/>
        </w:rPr>
        <w:t>。</w:t>
      </w:r>
      <w:r>
        <w:rPr>
          <w:rFonts w:ascii="仿宋_GB2312" w:eastAsia="仿宋_GB2312"/>
          <w:sz w:val="32"/>
          <w:szCs w:val="32"/>
        </w:rPr>
        <w:t>单价100万元（含）以上设备（不含车辆）0台。</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rPr>
        <w:t>根据预算绩效管理要求，本单位2024年度预算绩效评价项目1个，全年预算数</w:t>
      </w:r>
      <w:r>
        <w:rPr>
          <w:rFonts w:hint="eastAsia" w:ascii="仿宋_GB2312" w:eastAsia="仿宋_GB2312"/>
          <w:sz w:val="32"/>
          <w:szCs w:val="32"/>
        </w:rPr>
        <w:t>25.5</w:t>
      </w:r>
      <w:r>
        <w:rPr>
          <w:rFonts w:ascii="仿宋_GB2312" w:eastAsia="仿宋_GB2312"/>
          <w:sz w:val="32"/>
          <w:szCs w:val="32"/>
        </w:rPr>
        <w:t>万元，全年执行数</w:t>
      </w:r>
      <w:r>
        <w:rPr>
          <w:rFonts w:hint="eastAsia" w:ascii="仿宋_GB2312" w:eastAsia="仿宋_GB2312"/>
          <w:sz w:val="32"/>
          <w:szCs w:val="32"/>
        </w:rPr>
        <w:t>12.71</w:t>
      </w:r>
      <w:r>
        <w:rPr>
          <w:rFonts w:ascii="仿宋_GB2312" w:eastAsia="仿宋_GB2312"/>
          <w:sz w:val="32"/>
          <w:szCs w:val="32"/>
        </w:rPr>
        <w:t>万元</w:t>
      </w:r>
      <w:r>
        <w:rPr>
          <w:rFonts w:hint="eastAsia" w:ascii="仿宋_GB2312" w:eastAsia="仿宋_GB2312"/>
          <w:sz w:val="32"/>
          <w:szCs w:val="32"/>
        </w:rPr>
        <w:t>。</w:t>
      </w:r>
      <w:r>
        <w:rPr>
          <w:rFonts w:ascii="仿宋_GB2312" w:eastAsia="仿宋_GB2312"/>
          <w:sz w:val="32"/>
          <w:szCs w:val="32"/>
        </w:rPr>
        <w:t>预算绩效管理取得的成效：一是预算编制和执行的科学性、合理性、规范性得到显著提升，确保了财政资金使用效能的提升；二是通过创新工作机制、开展重点评价和全面自评等方式，不断完善绩效管理体系，提高了财政资金配置效率和使用效益</w:t>
      </w:r>
      <w:r>
        <w:rPr>
          <w:rFonts w:hint="eastAsia" w:ascii="仿宋_GB2312" w:eastAsia="仿宋_GB2312"/>
          <w:sz w:val="32"/>
          <w:szCs w:val="32"/>
          <w:lang w:eastAsia="zh-CN"/>
        </w:rPr>
        <w:t>。</w:t>
      </w:r>
      <w:r>
        <w:rPr>
          <w:rFonts w:ascii="仿宋_GB2312" w:eastAsia="仿宋_GB2312"/>
          <w:sz w:val="32"/>
          <w:szCs w:val="32"/>
        </w:rPr>
        <w:t>发现的问题及原因：一是指标设置模糊不明确，在制定绩效指标时，未能充分考虑指标与项目执行全过程中各个重要节点的联系，未能明确量化目标，执行过程中出现变动后，在原定的考核指标已不具备全面准确反映项目整体完成度的情况下未能及时对不匹配的指标做相应调整；二是绩效指标设置过于单一，太过于侧重与财务相关的指标的设置，忽略了其他重要因素</w:t>
      </w:r>
      <w:r>
        <w:rPr>
          <w:rFonts w:hint="eastAsia" w:ascii="仿宋_GB2312" w:eastAsia="仿宋_GB2312"/>
          <w:sz w:val="32"/>
          <w:szCs w:val="32"/>
          <w:lang w:eastAsia="zh-CN"/>
        </w:rPr>
        <w:t>。</w:t>
      </w:r>
      <w:r>
        <w:rPr>
          <w:rFonts w:ascii="仿宋_GB2312" w:eastAsia="仿宋_GB2312"/>
          <w:sz w:val="32"/>
          <w:szCs w:val="32"/>
        </w:rPr>
        <w:t>下一步改进措施：一是坚持全面预算，加强预算编制和执行的科学性、合理性、规范性，确保财政资金使用效能持续提升；二是根据单位的实际情况切实、准确的设置绩效考核指标，充分考虑预算执行过程中各阶段的不同情况，充分考虑预算执行期间可能出现的各种变动，并根据实际情况做好应对措施。具体附项目支出绩效自评表</w:t>
      </w:r>
      <w:r>
        <w:rPr>
          <w:rFonts w:hint="eastAsia" w:ascii="仿宋_GB2312" w:eastAsia="仿宋_GB2312"/>
          <w:sz w:val="32"/>
          <w:szCs w:val="32"/>
          <w:lang w:eastAsia="zh-CN"/>
        </w:rPr>
        <w:t>（</w:t>
      </w:r>
      <w:r>
        <w:rPr>
          <w:rFonts w:ascii="仿宋_GB2312" w:eastAsia="仿宋_GB2312"/>
          <w:sz w:val="32"/>
          <w:szCs w:val="32"/>
        </w:rPr>
        <w:t>见附</w:t>
      </w:r>
      <w:r>
        <w:rPr>
          <w:rFonts w:hint="eastAsia" w:ascii="仿宋_GB2312" w:eastAsia="仿宋_GB2312"/>
          <w:sz w:val="32"/>
          <w:szCs w:val="32"/>
          <w:lang w:val="en-US" w:eastAsia="zh-CN"/>
        </w:rPr>
        <w:t>件2</w:t>
      </w:r>
      <w:r>
        <w:rPr>
          <w:rFonts w:hint="eastAsia" w:ascii="仿宋_GB2312" w:eastAsia="仿宋_GB2312"/>
          <w:sz w:val="32"/>
          <w:szCs w:val="32"/>
          <w:lang w:eastAsia="zh-CN"/>
        </w:rPr>
        <w:t>）</w:t>
      </w:r>
      <w:r>
        <w:rPr>
          <w:rFonts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十二、其他需说明的事项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after="0" w:line="560" w:lineRule="exact"/>
        <w:textAlignment w:val="auto"/>
      </w:pPr>
      <w:r>
        <w:rPr>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第三部分</w:t>
      </w:r>
      <w:r>
        <w:rPr>
          <w:rFonts w:hint="eastAsia" w:ascii="黑体" w:eastAsia="黑体"/>
          <w:sz w:val="32"/>
          <w:szCs w:val="32"/>
          <w:lang w:val="en-US" w:eastAsia="zh-CN"/>
        </w:rPr>
        <w:t xml:space="preserve"> </w:t>
      </w:r>
      <w:r>
        <w:rPr>
          <w:rFonts w:ascii="黑体" w:eastAsia="黑体"/>
          <w:sz w:val="32"/>
          <w:szCs w:val="32"/>
        </w:rPr>
        <w:t>专业名词解释</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hint="eastAsia" w:ascii="仿宋_GB2312" w:eastAsia="仿宋_GB2312"/>
          <w:sz w:val="32"/>
          <w:szCs w:val="32"/>
          <w:lang w:eastAsia="zh-CN"/>
        </w:rPr>
        <w:t>“</w:t>
      </w:r>
      <w:r>
        <w:rPr>
          <w:rFonts w:ascii="仿宋_GB2312" w:eastAsia="仿宋_GB2312"/>
          <w:sz w:val="32"/>
          <w:szCs w:val="32"/>
        </w:rPr>
        <w:t>财政拨款收入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事业收入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经营收入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附属单位上缴收入</w:t>
      </w:r>
      <w:r>
        <w:rPr>
          <w:rFonts w:hint="eastAsia" w:ascii="仿宋_GB2312" w:eastAsia="仿宋_GB2312"/>
          <w:sz w:val="32"/>
          <w:szCs w:val="32"/>
          <w:lang w:eastAsia="zh-CN"/>
        </w:rPr>
        <w:t>”</w:t>
      </w:r>
      <w:r>
        <w:rPr>
          <w:rFonts w:ascii="仿宋_GB2312" w:eastAsia="仿宋_GB2312"/>
          <w:sz w:val="32"/>
          <w:szCs w:val="32"/>
        </w:rPr>
        <w:t>等之外取得的收入。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w:t>
      </w:r>
      <w:bookmarkStart w:id="0" w:name="_GoBack"/>
      <w:bookmarkEnd w:id="0"/>
      <w:r>
        <w:rPr>
          <w:rFonts w:ascii="仿宋_GB2312" w:eastAsia="仿宋_GB2312"/>
          <w:sz w:val="32"/>
          <w:szCs w:val="32"/>
        </w:rPr>
        <w:t>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after="0" w:line="560" w:lineRule="exact"/>
        <w:textAlignment w:val="auto"/>
      </w:pPr>
      <w:r>
        <w:rPr>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第四部分</w:t>
      </w:r>
      <w:r>
        <w:rPr>
          <w:rFonts w:hint="eastAsia" w:ascii="黑体" w:eastAsia="黑体"/>
          <w:sz w:val="32"/>
          <w:szCs w:val="32"/>
          <w:lang w:val="en-US" w:eastAsia="zh-CN"/>
        </w:rPr>
        <w:t xml:space="preserve"> </w:t>
      </w:r>
      <w:r>
        <w:rPr>
          <w:rFonts w:ascii="黑体" w:eastAsia="黑体"/>
          <w:sz w:val="32"/>
          <w:szCs w:val="32"/>
        </w:rPr>
        <w:t>部门决算报表（见附</w:t>
      </w:r>
      <w:r>
        <w:rPr>
          <w:rFonts w:hint="eastAsia" w:ascii="黑体" w:eastAsia="黑体"/>
          <w:sz w:val="32"/>
          <w:szCs w:val="32"/>
          <w:lang w:val="en-US" w:eastAsia="zh-CN"/>
        </w:rPr>
        <w:t>件1</w:t>
      </w:r>
      <w:r>
        <w:rPr>
          <w:rFonts w:ascii="黑体" w:eastAsia="黑体"/>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rPr>
        <w:t>一、《收入支出决算总表》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rPr>
        <w:t>二、《收入决算表》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三、《支出决算表》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w:t>
      </w:r>
      <w:r>
        <w:rPr>
          <w:rFonts w:hint="eastAsia" w:ascii="黑体" w:eastAsia="黑体"/>
          <w:sz w:val="32"/>
          <w:szCs w:val="32"/>
          <w:lang w:val="en-US" w:eastAsia="zh-CN"/>
        </w:rPr>
        <w:t>五</w:t>
      </w:r>
      <w:r>
        <w:rPr>
          <w:rFonts w:ascii="黑体" w:eastAsia="黑体"/>
          <w:sz w:val="32"/>
          <w:szCs w:val="32"/>
        </w:rPr>
        <w:t>部分</w:t>
      </w:r>
      <w:r>
        <w:rPr>
          <w:rFonts w:hint="eastAsia" w:ascii="黑体" w:eastAsia="黑体"/>
          <w:sz w:val="32"/>
          <w:szCs w:val="32"/>
          <w:lang w:val="en-US" w:eastAsia="zh-CN"/>
        </w:rPr>
        <w:t xml:space="preserve"> 项目绩效自评表</w:t>
      </w:r>
      <w:r>
        <w:rPr>
          <w:rFonts w:ascii="黑体" w:eastAsia="黑体"/>
          <w:sz w:val="32"/>
          <w:szCs w:val="32"/>
        </w:rPr>
        <w:t>（见附</w:t>
      </w:r>
      <w:r>
        <w:rPr>
          <w:rFonts w:hint="eastAsia" w:ascii="黑体" w:eastAsia="黑体"/>
          <w:sz w:val="32"/>
          <w:szCs w:val="32"/>
          <w:lang w:val="en-US" w:eastAsia="zh-CN"/>
        </w:rPr>
        <w:t>件2</w:t>
      </w:r>
      <w:r>
        <w:rPr>
          <w:rFonts w:ascii="黑体" w:eastAsia="黑体"/>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lang w:eastAsia="zh-CN"/>
        </w:rPr>
      </w:pP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lang w:eastAsia="zh-CN"/>
        </w:rPr>
      </w:pP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B03D61"/>
    <w:multiLevelType w:val="multilevel"/>
    <w:tmpl w:val="48B03D61"/>
    <w:lvl w:ilvl="0" w:tentative="0">
      <w:start w:val="1"/>
      <w:numFmt w:val="decimal"/>
      <w:suff w:val="nothing"/>
      <w:lvlText w:val="%1."/>
      <w:lvlJc w:val="left"/>
      <w:pPr>
        <w:ind w:firstLine="640" w:firstLineChars="200"/>
      </w:pPr>
    </w:lvl>
    <w:lvl w:ilvl="1" w:tentative="0">
      <w:start w:val="1"/>
      <w:numFmt w:val="decimal"/>
      <w:suff w:val="nothing"/>
      <w:lvlText w:val="%1.%2."/>
      <w:lvlJc w:val="left"/>
      <w:pPr>
        <w:ind w:firstLine="640" w:firstLineChars="200"/>
      </w:pPr>
    </w:lvl>
    <w:lvl w:ilvl="2" w:tentative="0">
      <w:start w:val="1"/>
      <w:numFmt w:val="decimal"/>
      <w:suff w:val="nothing"/>
      <w:lvlText w:val="%1.%2.%3."/>
      <w:lvlJc w:val="left"/>
      <w:pPr>
        <w:ind w:left="0" w:firstLine="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B98"/>
    <w:rsid w:val="0006441A"/>
    <w:rsid w:val="00114478"/>
    <w:rsid w:val="00122D3C"/>
    <w:rsid w:val="001E04B1"/>
    <w:rsid w:val="002070C9"/>
    <w:rsid w:val="00221DE4"/>
    <w:rsid w:val="0025087E"/>
    <w:rsid w:val="00254700"/>
    <w:rsid w:val="002D6655"/>
    <w:rsid w:val="0030540C"/>
    <w:rsid w:val="00430190"/>
    <w:rsid w:val="00485DEE"/>
    <w:rsid w:val="00636E33"/>
    <w:rsid w:val="0069004E"/>
    <w:rsid w:val="006C5B28"/>
    <w:rsid w:val="007F024A"/>
    <w:rsid w:val="00807F4E"/>
    <w:rsid w:val="00871329"/>
    <w:rsid w:val="009759FC"/>
    <w:rsid w:val="009766CD"/>
    <w:rsid w:val="009A7F8A"/>
    <w:rsid w:val="009D7890"/>
    <w:rsid w:val="00A05E80"/>
    <w:rsid w:val="00B16352"/>
    <w:rsid w:val="00B442B1"/>
    <w:rsid w:val="00B81A43"/>
    <w:rsid w:val="00B81AD7"/>
    <w:rsid w:val="00B87DD6"/>
    <w:rsid w:val="00BF4CB5"/>
    <w:rsid w:val="00CC56DF"/>
    <w:rsid w:val="00D37941"/>
    <w:rsid w:val="00DE6E02"/>
    <w:rsid w:val="00E51FBA"/>
    <w:rsid w:val="00E54B98"/>
    <w:rsid w:val="00F018D0"/>
    <w:rsid w:val="00FE01AD"/>
    <w:rsid w:val="00FE16B1"/>
    <w:rsid w:val="00FF170E"/>
    <w:rsid w:val="0B500691"/>
    <w:rsid w:val="12AD766B"/>
    <w:rsid w:val="16260EEF"/>
    <w:rsid w:val="1A146DF7"/>
    <w:rsid w:val="22DA66EB"/>
    <w:rsid w:val="2B2B1731"/>
    <w:rsid w:val="2D526D65"/>
    <w:rsid w:val="384B7AFB"/>
    <w:rsid w:val="386651EB"/>
    <w:rsid w:val="387743DF"/>
    <w:rsid w:val="3B5F6E09"/>
    <w:rsid w:val="457D77B7"/>
    <w:rsid w:val="4A1D1372"/>
    <w:rsid w:val="4F587A3C"/>
    <w:rsid w:val="54512677"/>
    <w:rsid w:val="5ED43718"/>
    <w:rsid w:val="61487C0C"/>
    <w:rsid w:val="64B3547F"/>
    <w:rsid w:val="6FEE37A6"/>
    <w:rsid w:val="73A4549A"/>
    <w:rsid w:val="767E4EDD"/>
    <w:rsid w:val="BDFFE3B4"/>
    <w:rsid w:val="DCBF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20"/>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1"/>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2"/>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3"/>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annotation text"/>
    <w:basedOn w:val="1"/>
    <w:semiHidden/>
    <w:unhideWhenUsed/>
    <w:qFormat/>
    <w:uiPriority w:val="99"/>
    <w:pPr>
      <w:jc w:val="left"/>
    </w:pPr>
  </w:style>
  <w:style w:type="paragraph" w:styleId="9">
    <w:name w:val="Balloon Text"/>
    <w:basedOn w:val="1"/>
    <w:link w:val="27"/>
    <w:semiHidden/>
    <w:unhideWhenUsed/>
    <w:qFormat/>
    <w:uiPriority w:val="99"/>
    <w:pPr>
      <w:spacing w:after="0" w:line="240" w:lineRule="auto"/>
    </w:pPr>
    <w:rPr>
      <w:sz w:val="18"/>
      <w:szCs w:val="18"/>
    </w:rPr>
  </w:style>
  <w:style w:type="paragraph" w:styleId="10">
    <w:name w:val="footer"/>
    <w:basedOn w:val="1"/>
    <w:link w:val="26"/>
    <w:semiHidden/>
    <w:unhideWhenUsed/>
    <w:qFormat/>
    <w:uiPriority w:val="99"/>
    <w:pPr>
      <w:tabs>
        <w:tab w:val="center" w:pos="4153"/>
        <w:tab w:val="right" w:pos="8306"/>
      </w:tabs>
      <w:snapToGrid w:val="0"/>
      <w:spacing w:line="240" w:lineRule="auto"/>
    </w:pPr>
    <w:rPr>
      <w:sz w:val="18"/>
      <w:szCs w:val="18"/>
    </w:rPr>
  </w:style>
  <w:style w:type="paragraph" w:styleId="11">
    <w:name w:val="header"/>
    <w:basedOn w:val="1"/>
    <w:link w:val="19"/>
    <w:unhideWhenUsed/>
    <w:qFormat/>
    <w:uiPriority w:val="99"/>
    <w:pPr>
      <w:tabs>
        <w:tab w:val="center" w:pos="4680"/>
        <w:tab w:val="right" w:pos="9360"/>
      </w:tabs>
    </w:pPr>
  </w:style>
  <w:style w:type="paragraph" w:styleId="12">
    <w:name w:val="Subtitle"/>
    <w:basedOn w:val="1"/>
    <w:next w:val="1"/>
    <w:link w:val="24"/>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5"/>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7">
    <w:name w:val="Emphasis"/>
    <w:basedOn w:val="16"/>
    <w:qFormat/>
    <w:uiPriority w:val="20"/>
    <w:rPr>
      <w:i/>
      <w:iCs/>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页眉 Char"/>
    <w:basedOn w:val="16"/>
    <w:link w:val="11"/>
    <w:qFormat/>
    <w:uiPriority w:val="99"/>
  </w:style>
  <w:style w:type="character" w:customStyle="1" w:styleId="20">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1">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2">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3">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4">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5">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6">
    <w:name w:val="页脚 Char"/>
    <w:basedOn w:val="16"/>
    <w:link w:val="10"/>
    <w:semiHidden/>
    <w:qFormat/>
    <w:uiPriority w:val="99"/>
    <w:rPr>
      <w:sz w:val="18"/>
      <w:szCs w:val="18"/>
    </w:rPr>
  </w:style>
  <w:style w:type="character" w:customStyle="1" w:styleId="27">
    <w:name w:val="批注框文本 Char"/>
    <w:basedOn w:val="16"/>
    <w:link w:val="9"/>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4993</Words>
  <Characters>5552</Characters>
  <Lines>46</Lines>
  <Paragraphs>12</Paragraphs>
  <TotalTime>3</TotalTime>
  <ScaleCrop>false</ScaleCrop>
  <LinksUpToDate>false</LinksUpToDate>
  <CharactersWithSpaces>5563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2025-01-01T03:06:00Z</dcterms:created>
  <dc:creator>Administrator</dc:creator>
  <cp:lastModifiedBy>wlt</cp:lastModifiedBy>
  <dcterms:modified xsi:type="dcterms:W3CDTF">2025-08-28T12:17:47Z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8D3AD320A3FB41B194342BF17FA620BE_12</vt:lpwstr>
  </property>
  <property fmtid="{D5CDD505-2E9C-101B-9397-08002B2CF9AE}" pid="4" name="KSOTemplateDocerSaveRecord">
    <vt:lpwstr>eyJoZGlkIjoiZTRmZDgxNGVhMzM0MDkyZWU3NzFjYTM5NmU3ZjE5MmUiLCJ1c2VySWQiOiIzNjg1ODM5MjEifQ==</vt:lpwstr>
  </property>
</Properties>
</file>